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64BD" w14:textId="1C35680B" w:rsidR="000A40C2" w:rsidRDefault="000A40C2" w:rsidP="000A40C2">
      <w:pPr>
        <w:jc w:val="center"/>
      </w:pPr>
      <w:r>
        <w:rPr>
          <w:noProof/>
        </w:rPr>
        <w:drawing>
          <wp:inline distT="0" distB="0" distL="0" distR="0" wp14:anchorId="47E52D03" wp14:editId="25D86D88">
            <wp:extent cx="2214563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051" t="14824" r="67130" b="78905"/>
                    <a:stretch/>
                  </pic:blipFill>
                  <pic:spPr bwMode="auto">
                    <a:xfrm>
                      <a:off x="0" y="0"/>
                      <a:ext cx="2220449" cy="888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9CC8C" w14:textId="0CED505B" w:rsidR="00BC4D43" w:rsidRDefault="000A40C2" w:rsidP="000A40C2">
      <w:pPr>
        <w:jc w:val="center"/>
      </w:pPr>
      <w:hyperlink r:id="rId5" w:history="1">
        <w:r>
          <w:rPr>
            <w:rStyle w:val="a3"/>
          </w:rPr>
          <w:t xml:space="preserve"> Электронная торговая площад</w:t>
        </w:r>
        <w:r>
          <w:rPr>
            <w:rStyle w:val="a3"/>
          </w:rPr>
          <w:t>к</w:t>
        </w:r>
        <w:r>
          <w:rPr>
            <w:rStyle w:val="a3"/>
          </w:rPr>
          <w:t>а ГПБ</w:t>
        </w:r>
      </w:hyperlink>
    </w:p>
    <w:sectPr w:rsidR="00BC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C2"/>
    <w:rsid w:val="000A40C2"/>
    <w:rsid w:val="00B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2CB3"/>
  <w15:chartTrackingRefBased/>
  <w15:docId w15:val="{CDF2E512-C3A8-44B7-865E-BA10EF0D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0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4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pgpb.ru/customers/ao-nauchno-issledovatelskiy-institut-tochnyh-priboro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</cp:revision>
  <dcterms:created xsi:type="dcterms:W3CDTF">2025-06-10T18:13:00Z</dcterms:created>
  <dcterms:modified xsi:type="dcterms:W3CDTF">2025-06-10T18:16:00Z</dcterms:modified>
</cp:coreProperties>
</file>